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55D58" w14:textId="77777777" w:rsidR="005C4FB5" w:rsidRPr="006D2D43" w:rsidRDefault="00000000">
      <w:pPr>
        <w:spacing w:after="120"/>
        <w:jc w:val="center"/>
        <w:rPr>
          <w:color w:val="000000" w:themeColor="text1"/>
          <w:lang w:val="en-US"/>
        </w:rPr>
      </w:pPr>
      <w:r w:rsidRPr="006D2D43">
        <w:rPr>
          <w:b/>
          <w:bCs/>
          <w:color w:val="000000" w:themeColor="text1"/>
          <w:sz w:val="34"/>
          <w:szCs w:val="34"/>
          <w:lang w:val="en-US"/>
        </w:rPr>
        <w:t>PRIVACY POLICY</w:t>
      </w:r>
    </w:p>
    <w:p w14:paraId="647AE2EB" w14:textId="4342D59A" w:rsidR="005C4FB5" w:rsidRPr="006D2D43" w:rsidRDefault="0046585A">
      <w:pPr>
        <w:pBdr>
          <w:bottom w:val="single" w:sz="6" w:space="8" w:color="AAAAAA"/>
        </w:pBdr>
        <w:spacing w:after="320"/>
        <w:jc w:val="center"/>
        <w:rPr>
          <w:color w:val="000000" w:themeColor="text1"/>
          <w:lang w:val="en-US"/>
        </w:rPr>
      </w:pPr>
      <w:r w:rsidRPr="006D2D43">
        <w:rPr>
          <w:i/>
          <w:iCs/>
          <w:color w:val="000000" w:themeColor="text1"/>
          <w:sz w:val="20"/>
          <w:szCs w:val="20"/>
          <w:lang w:val="en-US"/>
        </w:rPr>
        <w:t xml:space="preserve">DRIFT BAY HOLDINGS LIMITED | Last updated: </w:t>
      </w:r>
      <w:r w:rsidRPr="006D2D43">
        <w:rPr>
          <w:b/>
          <w:bCs/>
          <w:i/>
          <w:iCs/>
          <w:color w:val="000000" w:themeColor="text1"/>
          <w:sz w:val="20"/>
          <w:szCs w:val="20"/>
          <w:lang w:val="en-US"/>
        </w:rPr>
        <w:t>14.09.2026</w:t>
      </w:r>
    </w:p>
    <w:p w14:paraId="59603C25" w14:textId="081073E2" w:rsidR="005C4FB5" w:rsidRPr="006D2D43" w:rsidRDefault="0046585A">
      <w:pPr>
        <w:spacing w:after="140" w:line="276" w:lineRule="auto"/>
        <w:jc w:val="both"/>
        <w:rPr>
          <w:color w:val="000000" w:themeColor="text1"/>
          <w:lang w:val="en-US"/>
        </w:rPr>
      </w:pPr>
      <w:r w:rsidRPr="006D2D43">
        <w:rPr>
          <w:color w:val="000000" w:themeColor="text1"/>
          <w:lang w:val="en-US"/>
        </w:rPr>
        <w:t>DRIFT BAY HOLDINGS LIMITED (the "Company", "we", "us" or "our") is engaged in the international trade of mechanical equipment, including electrical equipment and machinery used for construction works, and in international investment into real estate and other real-sector assets. This Privacy Policy describes the way in which we obtain, hold, use, disclose and protect personal data in the course of those activities and in connection with our website.</w:t>
      </w:r>
    </w:p>
    <w:p w14:paraId="27B0D390"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We handle personal data in accordance with the Personal Data (Privacy) Ordinance (Cap. 486) of Hong Kong (the "PDPO") and the six Data Protection Principles set out in Schedule 1 to that Ordinance (the "DPPs"). Our commercial activity is directed at business counterparties in Hong Kong and Mainland China, and this Policy is written accordingly.</w:t>
      </w:r>
    </w:p>
    <w:p w14:paraId="45B1117B"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 The Data User and How to Contact Us</w:t>
      </w:r>
    </w:p>
    <w:p w14:paraId="34F8712E"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The data user responsible for the personal data described in this Policy is:</w:t>
      </w:r>
    </w:p>
    <w:p w14:paraId="3A1AAEDA" w14:textId="70112163"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Company:</w:t>
      </w:r>
      <w:r w:rsidRPr="006D2D43">
        <w:rPr>
          <w:color w:val="000000" w:themeColor="text1"/>
          <w:lang w:val="en-US"/>
        </w:rPr>
        <w:t xml:space="preserve"> </w:t>
      </w:r>
      <w:r w:rsidR="0046585A" w:rsidRPr="006D2D43">
        <w:rPr>
          <w:color w:val="000000" w:themeColor="text1"/>
          <w:lang w:val="en-US"/>
        </w:rPr>
        <w:t>DRIFT BAY HOLDINGS LIMITED</w:t>
      </w:r>
    </w:p>
    <w:p w14:paraId="2CB2C36E" w14:textId="073DD2E2" w:rsidR="005C4FB5" w:rsidRPr="006D2D43" w:rsidRDefault="00000000" w:rsidP="005B124B">
      <w:pPr>
        <w:pStyle w:val="a4"/>
        <w:numPr>
          <w:ilvl w:val="0"/>
          <w:numId w:val="2"/>
        </w:numPr>
        <w:spacing w:after="90" w:line="276" w:lineRule="auto"/>
        <w:jc w:val="both"/>
        <w:rPr>
          <w:color w:val="000000" w:themeColor="text1"/>
          <w:lang w:val="en-US"/>
        </w:rPr>
      </w:pPr>
      <w:r w:rsidRPr="006D2D43">
        <w:rPr>
          <w:b/>
          <w:bCs/>
          <w:color w:val="000000" w:themeColor="text1"/>
          <w:lang w:val="en-US"/>
        </w:rPr>
        <w:t>Registered office:</w:t>
      </w:r>
      <w:r w:rsidRPr="006D2D43">
        <w:rPr>
          <w:color w:val="000000" w:themeColor="text1"/>
          <w:lang w:val="en-US"/>
        </w:rPr>
        <w:t xml:space="preserve"> </w:t>
      </w:r>
      <w:r w:rsidR="00205D20" w:rsidRPr="006D2D43">
        <w:rPr>
          <w:color w:val="000000" w:themeColor="text1"/>
          <w:lang w:val="en-US"/>
        </w:rPr>
        <w:t>FLAT/RM O2 11/F HANG SENG CASTLE PEAK RD BLDG 339 CASTLE PEAK RD CHEUNG SHA WAN KL</w:t>
      </w:r>
    </w:p>
    <w:p w14:paraId="61000B75" w14:textId="22CDADA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Business Registration Number:</w:t>
      </w:r>
      <w:r w:rsidRPr="006D2D43">
        <w:rPr>
          <w:color w:val="000000" w:themeColor="text1"/>
          <w:lang w:val="en-US"/>
        </w:rPr>
        <w:t xml:space="preserve"> </w:t>
      </w:r>
      <w:r w:rsidR="005B124B" w:rsidRPr="006D2D43">
        <w:rPr>
          <w:color w:val="000000" w:themeColor="text1"/>
          <w:lang w:val="en-US"/>
        </w:rPr>
        <w:t>77879517-000</w:t>
      </w:r>
    </w:p>
    <w:p w14:paraId="3AF6483D" w14:textId="6BA18714" w:rsidR="00FD363E" w:rsidRPr="00FD363E" w:rsidRDefault="00000000" w:rsidP="00FD363E">
      <w:pPr>
        <w:pStyle w:val="a4"/>
        <w:numPr>
          <w:ilvl w:val="0"/>
          <w:numId w:val="2"/>
        </w:numPr>
        <w:spacing w:after="90" w:line="276" w:lineRule="auto"/>
        <w:jc w:val="both"/>
        <w:rPr>
          <w:color w:val="000000" w:themeColor="text1"/>
          <w:lang w:val="en-US"/>
        </w:rPr>
      </w:pPr>
      <w:r w:rsidRPr="00FD363E">
        <w:rPr>
          <w:b/>
          <w:bCs/>
          <w:color w:val="000000" w:themeColor="text1"/>
          <w:lang w:val="en-US"/>
        </w:rPr>
        <w:t>E-mail for privacy matters:</w:t>
      </w:r>
      <w:r w:rsidR="00E04EE8" w:rsidRPr="00E04EE8">
        <w:rPr>
          <w:b/>
          <w:bCs/>
          <w:color w:val="000000" w:themeColor="text1"/>
          <w:lang w:val="en-US"/>
        </w:rPr>
        <w:t xml:space="preserve"> </w:t>
      </w:r>
      <w:r w:rsidR="00E04EE8" w:rsidRPr="00E04EE8">
        <w:rPr>
          <w:b/>
          <w:bCs/>
          <w:color w:val="000000" w:themeColor="text1"/>
          <w:lang w:val="en-US"/>
        </w:rPr>
        <w:t>info@driftbay.co</w:t>
      </w:r>
    </w:p>
    <w:p w14:paraId="5D98017C" w14:textId="4CB0F00F" w:rsidR="005C4FB5" w:rsidRPr="00FD363E" w:rsidRDefault="00000000" w:rsidP="00FD363E">
      <w:pPr>
        <w:pStyle w:val="a4"/>
        <w:numPr>
          <w:ilvl w:val="0"/>
          <w:numId w:val="2"/>
        </w:numPr>
        <w:spacing w:after="90" w:line="276" w:lineRule="auto"/>
        <w:jc w:val="both"/>
        <w:rPr>
          <w:color w:val="000000" w:themeColor="text1"/>
          <w:lang w:val="en-US"/>
        </w:rPr>
      </w:pPr>
      <w:r w:rsidRPr="00FD363E">
        <w:rPr>
          <w:b/>
          <w:bCs/>
          <w:color w:val="000000" w:themeColor="text1"/>
          <w:lang w:val="en-US"/>
        </w:rPr>
        <w:t>Telephone:</w:t>
      </w:r>
      <w:r w:rsidRPr="00FD363E">
        <w:rPr>
          <w:color w:val="000000" w:themeColor="text1"/>
          <w:lang w:val="en-US"/>
        </w:rPr>
        <w:t xml:space="preserve"> </w:t>
      </w:r>
      <w:r w:rsidR="00FD363E" w:rsidRPr="00FD363E">
        <w:rPr>
          <w:color w:val="000000" w:themeColor="text1"/>
          <w:lang w:val="en-US"/>
        </w:rPr>
        <w:t>+86 15194985937</w:t>
      </w:r>
    </w:p>
    <w:p w14:paraId="71FFAD6C"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2. Scope</w:t>
      </w:r>
    </w:p>
    <w:p w14:paraId="78ACF387"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This Policy applies to personal data that reaches us through our website (the "Site"), through business correspondence, and through the negotiation and performance of our equipment supply and investment transactions. The PDPO protects data relating to living individuals; information relating purely to a company as a legal entity — such as its registered number or corporate bank account — does not fall within this Policy, although details of the individuals who act for that company do.</w:t>
      </w:r>
    </w:p>
    <w:p w14:paraId="1E078672"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Our Site may contain links to the websites of manufacturers, logistics operators, trade platforms or public registers. We do not control those resources and are not responsible for the way they handle data; please read their own privacy notices before providing information there.</w:t>
      </w:r>
    </w:p>
    <w:p w14:paraId="21BD7565" w14:textId="77777777" w:rsidR="005C4FB5" w:rsidRPr="006D2D43" w:rsidRDefault="00000000">
      <w:pPr>
        <w:pStyle w:val="1"/>
        <w:spacing w:before="320" w:after="160"/>
        <w:rPr>
          <w:color w:val="000000" w:themeColor="text1"/>
        </w:rPr>
      </w:pPr>
      <w:r w:rsidRPr="006D2D43">
        <w:rPr>
          <w:b/>
          <w:bCs/>
          <w:color w:val="000000" w:themeColor="text1"/>
          <w:sz w:val="26"/>
          <w:szCs w:val="26"/>
        </w:rPr>
        <w:t xml:space="preserve">3. </w:t>
      </w:r>
      <w:proofErr w:type="spellStart"/>
      <w:r w:rsidRPr="006D2D43">
        <w:rPr>
          <w:b/>
          <w:bCs/>
          <w:color w:val="000000" w:themeColor="text1"/>
          <w:sz w:val="26"/>
          <w:szCs w:val="26"/>
        </w:rPr>
        <w:t>Individuals</w:t>
      </w:r>
      <w:proofErr w:type="spellEnd"/>
      <w:r w:rsidRPr="006D2D43">
        <w:rPr>
          <w:b/>
          <w:bCs/>
          <w:color w:val="000000" w:themeColor="text1"/>
          <w:sz w:val="26"/>
          <w:szCs w:val="26"/>
        </w:rPr>
        <w:t xml:space="preserve"> </w:t>
      </w:r>
      <w:proofErr w:type="spellStart"/>
      <w:r w:rsidRPr="006D2D43">
        <w:rPr>
          <w:b/>
          <w:bCs/>
          <w:color w:val="000000" w:themeColor="text1"/>
          <w:sz w:val="26"/>
          <w:szCs w:val="26"/>
        </w:rPr>
        <w:t>Whose</w:t>
      </w:r>
      <w:proofErr w:type="spellEnd"/>
      <w:r w:rsidRPr="006D2D43">
        <w:rPr>
          <w:b/>
          <w:bCs/>
          <w:color w:val="000000" w:themeColor="text1"/>
          <w:sz w:val="26"/>
          <w:szCs w:val="26"/>
        </w:rPr>
        <w:t xml:space="preserve"> Data We </w:t>
      </w:r>
      <w:proofErr w:type="spellStart"/>
      <w:r w:rsidRPr="006D2D43">
        <w:rPr>
          <w:b/>
          <w:bCs/>
          <w:color w:val="000000" w:themeColor="text1"/>
          <w:sz w:val="26"/>
          <w:szCs w:val="26"/>
        </w:rPr>
        <w:t>Handle</w:t>
      </w:r>
      <w:proofErr w:type="spellEnd"/>
    </w:p>
    <w:p w14:paraId="7C4D5D15"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Enquirers.</w:t>
      </w:r>
      <w:r w:rsidRPr="006D2D43">
        <w:rPr>
          <w:color w:val="000000" w:themeColor="text1"/>
          <w:lang w:val="en-US"/>
        </w:rPr>
        <w:t xml:space="preserve"> Individuals who complete the enquiry or request-for-quotation form on the Site, or who write to us by e-mail, asking about the supply of equipment or about a potential investment.</w:t>
      </w:r>
    </w:p>
    <w:p w14:paraId="3EF8F414"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Counterparty representatives.</w:t>
      </w:r>
      <w:r w:rsidRPr="006D2D43">
        <w:rPr>
          <w:color w:val="000000" w:themeColor="text1"/>
          <w:lang w:val="en-US"/>
        </w:rPr>
        <w:t xml:space="preserve"> Directors, officers, managers, engineers, purchasing and logistics staff of the manufacturers, dealers, buyers, freight forwarders and service providers with whom we deal.</w:t>
      </w:r>
    </w:p>
    <w:p w14:paraId="6FB86A12"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Investment counterparties.</w:t>
      </w:r>
      <w:r w:rsidRPr="006D2D43">
        <w:rPr>
          <w:color w:val="000000" w:themeColor="text1"/>
          <w:lang w:val="en-US"/>
        </w:rPr>
        <w:t xml:space="preserve"> Sellers, co-investors, property owners, managers and advisers involved in the real estate and real-sector transactions in which we participate, and the individuals who represent them.</w:t>
      </w:r>
    </w:p>
    <w:p w14:paraId="10CA2755"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Other individuals named in trade documentation.</w:t>
      </w:r>
      <w:r w:rsidRPr="006D2D43">
        <w:rPr>
          <w:color w:val="000000" w:themeColor="text1"/>
          <w:lang w:val="en-US"/>
        </w:rPr>
        <w:t xml:space="preserve"> Persons whose names appear in purchase orders, invoices, packing lists, certificates of origin, inspection reports, shipping documents and similar records.</w:t>
      </w:r>
    </w:p>
    <w:p w14:paraId="3653A5D8"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lastRenderedPageBreak/>
        <w:t>4. Categories of Personal Data</w:t>
      </w:r>
    </w:p>
    <w:p w14:paraId="420E31A0" w14:textId="77777777" w:rsidR="005C4FB5" w:rsidRPr="006D2D43" w:rsidRDefault="00000000">
      <w:pPr>
        <w:pStyle w:val="2"/>
        <w:spacing w:before="220" w:after="120"/>
        <w:rPr>
          <w:color w:val="000000" w:themeColor="text1"/>
          <w:lang w:val="en-US"/>
        </w:rPr>
      </w:pPr>
      <w:r w:rsidRPr="006D2D43">
        <w:rPr>
          <w:b/>
          <w:bCs/>
          <w:color w:val="000000" w:themeColor="text1"/>
          <w:sz w:val="23"/>
          <w:szCs w:val="23"/>
          <w:lang w:val="en-US"/>
        </w:rPr>
        <w:t>4.1 Data you give us through the enquiry form or by correspondence</w:t>
      </w:r>
    </w:p>
    <w:p w14:paraId="35929F04"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Full name and the position you hold.</w:t>
      </w:r>
    </w:p>
    <w:p w14:paraId="54EB38C4"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The name of the company you represent and the country or city in which it operates.</w:t>
      </w:r>
    </w:p>
    <w:p w14:paraId="5EED88A6"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Business e-mail address and telephone or messenger number.</w:t>
      </w:r>
    </w:p>
    <w:p w14:paraId="59A03327"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The substance of your request: the type, specification and quantity of equipment required, intended destination, expected delivery period, budget indications, or the parameters of an investment you wish to discuss.</w:t>
      </w:r>
    </w:p>
    <w:p w14:paraId="71D739C1"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Anything further that you choose to include in the free-text part of the form or in your message.</w:t>
      </w:r>
    </w:p>
    <w:p w14:paraId="68CF921A"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The form asks only for what we need in order to reply sensibly to a commercial enquiry. Please do not send us identity documents, financial statements or data about third parties at the enquiry stage — if any of that becomes necessary, we will ask for it separately and explain why.</w:t>
      </w:r>
    </w:p>
    <w:p w14:paraId="7E24EC59" w14:textId="77777777" w:rsidR="005C4FB5" w:rsidRPr="006D2D43" w:rsidRDefault="00000000">
      <w:pPr>
        <w:pStyle w:val="2"/>
        <w:spacing w:before="220" w:after="120"/>
        <w:rPr>
          <w:color w:val="000000" w:themeColor="text1"/>
          <w:lang w:val="en-US"/>
        </w:rPr>
      </w:pPr>
      <w:r w:rsidRPr="006D2D43">
        <w:rPr>
          <w:b/>
          <w:bCs/>
          <w:color w:val="000000" w:themeColor="text1"/>
          <w:sz w:val="23"/>
          <w:szCs w:val="23"/>
          <w:lang w:val="en-US"/>
        </w:rPr>
        <w:t>4.2 Data collected when a transaction proceeds</w:t>
      </w:r>
    </w:p>
    <w:p w14:paraId="698C0AAA"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Evidence of the identity and authority of the persons signing on behalf of a counterparty: type and number of identity document, position held, powers of attorney or board resolutions, specimen signatures.</w:t>
      </w:r>
    </w:p>
    <w:p w14:paraId="3C82112C"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 xml:space="preserve">Settlement details where an individual is the account holder or an </w:t>
      </w:r>
      <w:proofErr w:type="spellStart"/>
      <w:r w:rsidRPr="006D2D43">
        <w:rPr>
          <w:color w:val="000000" w:themeColor="text1"/>
          <w:lang w:val="en-US"/>
        </w:rPr>
        <w:t>authorised</w:t>
      </w:r>
      <w:proofErr w:type="spellEnd"/>
      <w:r w:rsidRPr="006D2D43">
        <w:rPr>
          <w:color w:val="000000" w:themeColor="text1"/>
          <w:lang w:val="en-US"/>
        </w:rPr>
        <w:t xml:space="preserve"> signatory.</w:t>
      </w:r>
    </w:p>
    <w:p w14:paraId="64D990A9"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Correspondence, minutes of calls and meetings, technical clarifications, and documents exchanged while a contract is being negotiated or performed.</w:t>
      </w:r>
    </w:p>
    <w:p w14:paraId="098F8EC5"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Records connected with shipment and customs clearance in which individuals are named, such as consignee contacts, declarants and inspectors.</w:t>
      </w:r>
    </w:p>
    <w:p w14:paraId="6364DA34" w14:textId="77777777" w:rsidR="005C4FB5" w:rsidRPr="006D2D43" w:rsidRDefault="00000000">
      <w:pPr>
        <w:pStyle w:val="2"/>
        <w:spacing w:before="220" w:after="120"/>
        <w:rPr>
          <w:color w:val="000000" w:themeColor="text1"/>
          <w:lang w:val="en-US"/>
        </w:rPr>
      </w:pPr>
      <w:r w:rsidRPr="006D2D43">
        <w:rPr>
          <w:b/>
          <w:bCs/>
          <w:color w:val="000000" w:themeColor="text1"/>
          <w:sz w:val="23"/>
          <w:szCs w:val="23"/>
          <w:lang w:val="en-US"/>
        </w:rPr>
        <w:t>4.3 Data generated automatically when you visit the Site</w:t>
      </w:r>
    </w:p>
    <w:p w14:paraId="2F13F766"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Internet protocol address, approximate location derived from it, type of device, operating system and browser.</w:t>
      </w:r>
    </w:p>
    <w:p w14:paraId="2C06DD39"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Pages viewed, date and time of the visit, the page that referred you, and the interface language you selected.</w:t>
      </w:r>
    </w:p>
    <w:p w14:paraId="1E618D08"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Information of this kind is described in more detail in our Cookie Policy, which is published as a separate document alongside this one.</w:t>
      </w:r>
    </w:p>
    <w:p w14:paraId="1F6C1DA9"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5. Where the Data Comes From</w:t>
      </w:r>
    </w:p>
    <w:p w14:paraId="11BAA740"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In most cases personal data reaches us directly from the individual concerned. We may also receive it from the company that individual works for, from an intermediary or agent introducing a transaction, from a manufacturer or logistics provider participating in the same supply chain, or from sources open to the public — company registers, official gazettes, corporate websites and industry directories — when we verify who we are dealing with.</w:t>
      </w:r>
    </w:p>
    <w:p w14:paraId="40AF0756"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6. Purposes for Which We Use Personal Data</w:t>
      </w:r>
    </w:p>
    <w:p w14:paraId="15B933DA"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Replying to enquiries, preparing quotations and technical proposals for mechanical, electrical and construction equipment.</w:t>
      </w:r>
    </w:p>
    <w:p w14:paraId="7D070237"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Negotiating, concluding and performing contracts of sale, purchase, supply, agency and related services.</w:t>
      </w:r>
    </w:p>
    <w:p w14:paraId="10ECF7E3"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Sourcing equipment from manufacturers and dealers and arranging its inspection, certification, packing, shipment, insurance and customs clearance.</w:t>
      </w:r>
    </w:p>
    <w:p w14:paraId="6DEE7556"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Confirming that a person who signs or instructs us on behalf of a counterparty genuinely holds that authority, and carrying out ordinary commercial checks on the counterparty itself.</w:t>
      </w:r>
    </w:p>
    <w:p w14:paraId="70185515"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lastRenderedPageBreak/>
        <w:t>Assessing, negotiating, executing and administering investments into real estate and other real-sector assets, and managing those assets while we hold them.</w:t>
      </w:r>
    </w:p>
    <w:p w14:paraId="7084F5BF"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Issuing and settling invoices, keeping accounting and tax records, and meeting statutory record-keeping duties under Hong Kong law, including the Companies Ordinance (Cap. 622) and the Inland Revenue Ordinance (Cap. 112).</w:t>
      </w:r>
    </w:p>
    <w:p w14:paraId="37D4889D"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Dealing with warranty questions, quality claims, insurance matters and, where they arise, disputes and legal proceedings.</w:t>
      </w:r>
    </w:p>
    <w:p w14:paraId="6F89BBFC"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Operating, maintaining and protecting the Site, and improving the way it presents our offering.</w:t>
      </w:r>
    </w:p>
    <w:p w14:paraId="11FDA14B"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Sending commercial information about equipment, market conditions or investment opportunities — but only where the recipient has agreed in advance to receive it (see section 12).</w:t>
      </w:r>
    </w:p>
    <w:p w14:paraId="4A217FB4"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We do not use personal data for any purpose unconnected with those listed above, or directly related to them, without first obtaining the consent of the individual concerned.</w:t>
      </w:r>
    </w:p>
    <w:p w14:paraId="022D04D8"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7. Whether Supplying Data Is Obligatory</w:t>
      </w:r>
    </w:p>
    <w:p w14:paraId="141F8DE4"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 xml:space="preserve">Completing the enquiry form is entirely voluntary. The fields marked as required, however, are the minimum we need in order to identify who is writing and to prepare a meaningful answer; if they are left </w:t>
      </w:r>
      <w:proofErr w:type="gramStart"/>
      <w:r w:rsidRPr="006D2D43">
        <w:rPr>
          <w:color w:val="000000" w:themeColor="text1"/>
          <w:lang w:val="en-US"/>
        </w:rPr>
        <w:t>blank</w:t>
      </w:r>
      <w:proofErr w:type="gramEnd"/>
      <w:r w:rsidRPr="006D2D43">
        <w:rPr>
          <w:color w:val="000000" w:themeColor="text1"/>
          <w:lang w:val="en-US"/>
        </w:rPr>
        <w:t xml:space="preserve"> we may be unable to respond. At a later stage, where a transaction is actually being concluded, the identity and authority documents referred to in clause 4.2 are a precondition of signing — without them we will not proceed.</w:t>
      </w:r>
    </w:p>
    <w:p w14:paraId="199318E2"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8. How We Observe the Six Data Protection Principles</w:t>
      </w:r>
    </w:p>
    <w:p w14:paraId="3B2E514C"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DPP1 — Collection.</w:t>
      </w:r>
      <w:r w:rsidRPr="006D2D43">
        <w:rPr>
          <w:color w:val="000000" w:themeColor="text1"/>
          <w:lang w:val="en-US"/>
        </w:rPr>
        <w:t xml:space="preserve"> We take only the data we actually need for the purposes listed in section 6, by lawful and fair means, and we tell individuals at or before the point of collection what we intend to do with it.</w:t>
      </w:r>
    </w:p>
    <w:p w14:paraId="7AF1971D"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DPP2 — Accuracy and duration of retention.</w:t>
      </w:r>
      <w:r w:rsidRPr="006D2D43">
        <w:rPr>
          <w:color w:val="000000" w:themeColor="text1"/>
          <w:lang w:val="en-US"/>
        </w:rPr>
        <w:t xml:space="preserve"> We take practicable steps to keep data correct and current, and we do not keep it longer than the periods set out in section 9.</w:t>
      </w:r>
    </w:p>
    <w:p w14:paraId="213F30D1"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DPP3 — Use.</w:t>
      </w:r>
      <w:r w:rsidRPr="006D2D43">
        <w:rPr>
          <w:color w:val="000000" w:themeColor="text1"/>
          <w:lang w:val="en-US"/>
        </w:rPr>
        <w:t xml:space="preserve"> Data is used only for the purpose for which it was gathered, or a purpose directly related to it. Anything beyond that requires the prescribed consent of the individual.</w:t>
      </w:r>
    </w:p>
    <w:p w14:paraId="10409061"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DPP4 — Security.</w:t>
      </w:r>
      <w:r w:rsidRPr="006D2D43">
        <w:rPr>
          <w:color w:val="000000" w:themeColor="text1"/>
          <w:lang w:val="en-US"/>
        </w:rPr>
        <w:t xml:space="preserve"> We apply the </w:t>
      </w:r>
      <w:proofErr w:type="spellStart"/>
      <w:r w:rsidRPr="006D2D43">
        <w:rPr>
          <w:color w:val="000000" w:themeColor="text1"/>
          <w:lang w:val="en-US"/>
        </w:rPr>
        <w:t>organisational</w:t>
      </w:r>
      <w:proofErr w:type="spellEnd"/>
      <w:r w:rsidRPr="006D2D43">
        <w:rPr>
          <w:color w:val="000000" w:themeColor="text1"/>
          <w:lang w:val="en-US"/>
        </w:rPr>
        <w:t xml:space="preserve"> and technical safeguards described in section 11 so that data is not accessed, processed, erased, lost or used either without authority or by accident.</w:t>
      </w:r>
    </w:p>
    <w:p w14:paraId="17EF9389"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DPP5 — Openness.</w:t>
      </w:r>
      <w:r w:rsidRPr="006D2D43">
        <w:rPr>
          <w:color w:val="000000" w:themeColor="text1"/>
          <w:lang w:val="en-US"/>
        </w:rPr>
        <w:t xml:space="preserve"> Our policies and practices concerning personal data are set out in this document, which is freely available on the Site; we will also answer questions about the kinds of data we hold and the purposes we hold it for.</w:t>
      </w:r>
    </w:p>
    <w:p w14:paraId="5CFBAE62"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DPP6 — Access and correction.</w:t>
      </w:r>
      <w:r w:rsidRPr="006D2D43">
        <w:rPr>
          <w:color w:val="000000" w:themeColor="text1"/>
          <w:lang w:val="en-US"/>
        </w:rPr>
        <w:t xml:space="preserve"> Individuals may ask what data we hold about them and require us to correct it where it is wrong, as described in section 13.</w:t>
      </w:r>
    </w:p>
    <w:p w14:paraId="3E5DC79C"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9. Retention Periods</w:t>
      </w:r>
    </w:p>
    <w:p w14:paraId="2EBF75A1" w14:textId="77777777" w:rsidR="005C4FB5" w:rsidRPr="006D2D43" w:rsidRDefault="00000000">
      <w:pPr>
        <w:spacing w:after="140" w:line="276" w:lineRule="auto"/>
        <w:jc w:val="both"/>
        <w:rPr>
          <w:color w:val="000000" w:themeColor="text1"/>
        </w:rPr>
      </w:pPr>
      <w:r w:rsidRPr="006D2D43">
        <w:rPr>
          <w:color w:val="000000" w:themeColor="text1"/>
          <w:lang w:val="en-US"/>
        </w:rPr>
        <w:t xml:space="preserve">Personal data is erased or </w:t>
      </w:r>
      <w:proofErr w:type="spellStart"/>
      <w:r w:rsidRPr="006D2D43">
        <w:rPr>
          <w:color w:val="000000" w:themeColor="text1"/>
          <w:lang w:val="en-US"/>
        </w:rPr>
        <w:t>anonymised</w:t>
      </w:r>
      <w:proofErr w:type="spellEnd"/>
      <w:r w:rsidRPr="006D2D43">
        <w:rPr>
          <w:color w:val="000000" w:themeColor="text1"/>
          <w:lang w:val="en-US"/>
        </w:rPr>
        <w:t xml:space="preserve"> once the purpose for which it was collected has been fulfilled, unless a longer period is required by law or is necessary for the establishment or </w:t>
      </w:r>
      <w:proofErr w:type="spellStart"/>
      <w:r w:rsidRPr="006D2D43">
        <w:rPr>
          <w:color w:val="000000" w:themeColor="text1"/>
          <w:lang w:val="en-US"/>
        </w:rPr>
        <w:t>defence</w:t>
      </w:r>
      <w:proofErr w:type="spellEnd"/>
      <w:r w:rsidRPr="006D2D43">
        <w:rPr>
          <w:color w:val="000000" w:themeColor="text1"/>
          <w:lang w:val="en-US"/>
        </w:rPr>
        <w:t xml:space="preserve"> of a legal claim. </w:t>
      </w:r>
      <w:r w:rsidRPr="006D2D43">
        <w:rPr>
          <w:color w:val="000000" w:themeColor="text1"/>
        </w:rPr>
        <w:t xml:space="preserve">In </w:t>
      </w:r>
      <w:proofErr w:type="spellStart"/>
      <w:r w:rsidRPr="006D2D43">
        <w:rPr>
          <w:color w:val="000000" w:themeColor="text1"/>
        </w:rPr>
        <w:t>practice</w:t>
      </w:r>
      <w:proofErr w:type="spellEnd"/>
      <w:r w:rsidRPr="006D2D43">
        <w:rPr>
          <w:color w:val="000000" w:themeColor="text1"/>
        </w:rPr>
        <w:t xml:space="preserve"> </w:t>
      </w:r>
      <w:proofErr w:type="spellStart"/>
      <w:r w:rsidRPr="006D2D43">
        <w:rPr>
          <w:color w:val="000000" w:themeColor="text1"/>
        </w:rPr>
        <w:t>we</w:t>
      </w:r>
      <w:proofErr w:type="spellEnd"/>
      <w:r w:rsidRPr="006D2D43">
        <w:rPr>
          <w:color w:val="000000" w:themeColor="text1"/>
        </w:rPr>
        <w:t xml:space="preserve"> </w:t>
      </w:r>
      <w:proofErr w:type="spellStart"/>
      <w:r w:rsidRPr="006D2D43">
        <w:rPr>
          <w:color w:val="000000" w:themeColor="text1"/>
        </w:rPr>
        <w:t>apply</w:t>
      </w:r>
      <w:proofErr w:type="spellEnd"/>
      <w:r w:rsidRPr="006D2D43">
        <w:rPr>
          <w:color w:val="000000" w:themeColor="text1"/>
        </w:rPr>
        <w:t xml:space="preserve"> </w:t>
      </w:r>
      <w:proofErr w:type="spellStart"/>
      <w:r w:rsidRPr="006D2D43">
        <w:rPr>
          <w:color w:val="000000" w:themeColor="text1"/>
        </w:rPr>
        <w:t>the</w:t>
      </w:r>
      <w:proofErr w:type="spellEnd"/>
      <w:r w:rsidRPr="006D2D43">
        <w:rPr>
          <w:color w:val="000000" w:themeColor="text1"/>
        </w:rPr>
        <w:t xml:space="preserve"> </w:t>
      </w:r>
      <w:proofErr w:type="spellStart"/>
      <w:r w:rsidRPr="006D2D43">
        <w:rPr>
          <w:color w:val="000000" w:themeColor="text1"/>
        </w:rPr>
        <w:t>following</w:t>
      </w:r>
      <w:proofErr w:type="spellEnd"/>
      <w:r w:rsidRPr="006D2D43">
        <w:rPr>
          <w:color w:val="000000" w:themeColor="text1"/>
        </w:rPr>
        <w:t xml:space="preserve"> </w:t>
      </w:r>
      <w:proofErr w:type="spellStart"/>
      <w:r w:rsidRPr="006D2D43">
        <w:rPr>
          <w:color w:val="000000" w:themeColor="text1"/>
        </w:rPr>
        <w:t>periods</w:t>
      </w:r>
      <w:proofErr w:type="spellEnd"/>
      <w:r w:rsidRPr="006D2D43">
        <w:rPr>
          <w:color w:val="000000" w:themeColor="text1"/>
        </w:rPr>
        <w:t>:</w:t>
      </w:r>
    </w:p>
    <w:p w14:paraId="02105FAF"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Enquiries that do not result in a transaction</w:t>
      </w:r>
      <w:r w:rsidRPr="006D2D43">
        <w:rPr>
          <w:color w:val="000000" w:themeColor="text1"/>
          <w:lang w:val="en-US"/>
        </w:rPr>
        <w:t xml:space="preserve"> — 24 months from the last exchange of correspondence.</w:t>
      </w:r>
    </w:p>
    <w:p w14:paraId="493366E9"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Contracts, orders, invoices, shipping and customs records</w:t>
      </w:r>
      <w:r w:rsidRPr="006D2D43">
        <w:rPr>
          <w:color w:val="000000" w:themeColor="text1"/>
          <w:lang w:val="en-US"/>
        </w:rPr>
        <w:t xml:space="preserve"> — 7 years from completion of the relevant transaction, in line with Hong Kong accounting and tax requirements.</w:t>
      </w:r>
    </w:p>
    <w:p w14:paraId="53FFC42C"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Records verifying the identity and authority of counterparty representatives</w:t>
      </w:r>
      <w:r w:rsidRPr="006D2D43">
        <w:rPr>
          <w:color w:val="000000" w:themeColor="text1"/>
          <w:lang w:val="en-US"/>
        </w:rPr>
        <w:t xml:space="preserve"> — for the duration of the business relationship and 5 years afterwards.</w:t>
      </w:r>
    </w:p>
    <w:p w14:paraId="1615C06D"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lastRenderedPageBreak/>
        <w:t>Investment transaction files, including title and valuation material</w:t>
      </w:r>
      <w:r w:rsidRPr="006D2D43">
        <w:rPr>
          <w:color w:val="000000" w:themeColor="text1"/>
          <w:lang w:val="en-US"/>
        </w:rPr>
        <w:t xml:space="preserve"> — 7 years from disposal of the asset or termination of our participation.</w:t>
      </w:r>
    </w:p>
    <w:p w14:paraId="5B83D36A"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Records of consent to receive marketing, and of its withdrawal</w:t>
      </w:r>
      <w:r w:rsidRPr="006D2D43">
        <w:rPr>
          <w:color w:val="000000" w:themeColor="text1"/>
          <w:lang w:val="en-US"/>
        </w:rPr>
        <w:t xml:space="preserve"> — while the consent remains in force and for 2 years after it ends, so that we can demonstrate the choice that was made.</w:t>
      </w:r>
    </w:p>
    <w:p w14:paraId="6B525DBA" w14:textId="77777777" w:rsidR="005C4FB5" w:rsidRPr="006D2D43" w:rsidRDefault="00000000">
      <w:pPr>
        <w:pStyle w:val="a4"/>
        <w:numPr>
          <w:ilvl w:val="0"/>
          <w:numId w:val="2"/>
        </w:numPr>
        <w:spacing w:after="90" w:line="276" w:lineRule="auto"/>
        <w:jc w:val="both"/>
        <w:rPr>
          <w:color w:val="000000" w:themeColor="text1"/>
          <w:lang w:val="en-US"/>
        </w:rPr>
      </w:pPr>
      <w:r w:rsidRPr="006D2D43">
        <w:rPr>
          <w:b/>
          <w:bCs/>
          <w:color w:val="000000" w:themeColor="text1"/>
          <w:lang w:val="en-US"/>
        </w:rPr>
        <w:t>General business correspondence</w:t>
      </w:r>
      <w:r w:rsidRPr="006D2D43">
        <w:rPr>
          <w:color w:val="000000" w:themeColor="text1"/>
          <w:lang w:val="en-US"/>
        </w:rPr>
        <w:t xml:space="preserve"> — 3 years from the close of the matter to which it relates.</w:t>
      </w:r>
    </w:p>
    <w:p w14:paraId="7AA33D06"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10. Disclosure and Transfer</w:t>
      </w:r>
    </w:p>
    <w:p w14:paraId="63691500"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We do not sell personal data and we do not make it available for the marketing purposes of others. Data is disclosed only where it is needed for the purposes in section 6, and then only to:</w:t>
      </w:r>
    </w:p>
    <w:p w14:paraId="51578AB9"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our directors and employees, each of whom sees only what their role requires;</w:t>
      </w:r>
    </w:p>
    <w:p w14:paraId="2671C05D"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manufacturers, dealers and equipment suppliers, where a specification, quotation or order has to be placed on your behalf;</w:t>
      </w:r>
    </w:p>
    <w:p w14:paraId="74ED6B80"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freight forwarders, carriers, customs brokers, warehouse operators, and inspection or certification bodies engaged for a particular consignment;</w:t>
      </w:r>
    </w:p>
    <w:p w14:paraId="534204C9"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banks, payment institutions, insurers and insurance brokers involved in settling or covering a transaction;</w:t>
      </w:r>
    </w:p>
    <w:p w14:paraId="26BE7374"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valuers, surveyors, property managers, escrow agents and the other parties to an investment transaction;</w:t>
      </w:r>
    </w:p>
    <w:p w14:paraId="735FFA36"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lawyers, auditors, accountants and other professional advisers retained by us;</w:t>
      </w:r>
    </w:p>
    <w:p w14:paraId="440ED7FD"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providers of hosting, e-mail, document storage and customer relationship management services, acting only on our instructions;</w:t>
      </w:r>
    </w:p>
    <w:p w14:paraId="0880CDD2" w14:textId="77777777" w:rsidR="005C4FB5" w:rsidRPr="006D2D43" w:rsidRDefault="00000000">
      <w:pPr>
        <w:pStyle w:val="a4"/>
        <w:numPr>
          <w:ilvl w:val="0"/>
          <w:numId w:val="2"/>
        </w:numPr>
        <w:spacing w:after="90" w:line="276" w:lineRule="auto"/>
        <w:jc w:val="both"/>
        <w:rPr>
          <w:color w:val="000000" w:themeColor="text1"/>
          <w:lang w:val="en-US"/>
        </w:rPr>
      </w:pPr>
      <w:r w:rsidRPr="006D2D43">
        <w:rPr>
          <w:color w:val="000000" w:themeColor="text1"/>
          <w:lang w:val="en-US"/>
        </w:rPr>
        <w:t>courts, customs authorities, regulators, law enforcement agencies and other public bodies, where we are required by law or by a court order to disclose, or where disclosure is necessary to protect our legal interests.</w:t>
      </w:r>
    </w:p>
    <w:p w14:paraId="50649AA6"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Where a service provider handles personal data for us as a data processor, we impose contractual obligations requiring it to process the data only as instructed, to keep it secure, and to erase or return it when the engagement ends, as required by DPP2(3) and DPP4(2) of the PDPO.</w:t>
      </w:r>
    </w:p>
    <w:p w14:paraId="3E8DB656"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11. Security</w:t>
      </w:r>
    </w:p>
    <w:p w14:paraId="5D98C786"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The measures we apply are proportionate to the nature of the data and the harm that would follow from its loss. They include restricting access to business systems on a need-to-know basis, individual accounts with authentication for each user, encrypted transmission of data through the Site and of documents sent to counterparties where the technology permits, storage with reputable hosting and e-mail providers, internal rules on handling and destroying documents, and confidentiality undertakings from staff and contractors.</w:t>
      </w:r>
    </w:p>
    <w:p w14:paraId="492B480E"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Should a breach occur that is likely to cause real harm to the individuals affected, we will investigate it without delay, take steps to contain it, notify the individuals concerned, and inform the Office of the Privacy Commissioner for Personal Data in accordance with the guidance it has issued on data breach handling.</w:t>
      </w:r>
    </w:p>
    <w:p w14:paraId="1C781BE7"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12. Direct Marketing</w:t>
      </w:r>
    </w:p>
    <w:p w14:paraId="46D32617"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Part VIA of the PDPO requires us to notify you and obtain your consent before we use your personal data in direct marketing. We therefore send commercial communications — offers of equipment, notices of available stock, market updates or investment propositions — only to individuals who have indicated that they wish to receive them, and we identify the kinds of data and classes of goods and services concerned when we ask for that consent.</w:t>
      </w:r>
    </w:p>
    <w:p w14:paraId="2D690A89" w14:textId="37E9F3AF" w:rsidR="005C4FB5" w:rsidRPr="006D2D43" w:rsidRDefault="00000000">
      <w:pPr>
        <w:spacing w:after="140" w:line="276" w:lineRule="auto"/>
        <w:jc w:val="both"/>
        <w:rPr>
          <w:color w:val="000000" w:themeColor="text1"/>
          <w:lang w:val="en-US"/>
        </w:rPr>
      </w:pPr>
      <w:r w:rsidRPr="006D2D43">
        <w:rPr>
          <w:color w:val="000000" w:themeColor="text1"/>
          <w:lang w:val="en-US"/>
        </w:rPr>
        <w:t xml:space="preserve">Consent may be withdrawn at any time and at no cost, by replying to any message we have sent or by writing to the address in section 1. Once a withdrawal reaches </w:t>
      </w:r>
      <w:r w:rsidR="004F4363" w:rsidRPr="006D2D43">
        <w:rPr>
          <w:color w:val="000000" w:themeColor="text1"/>
          <w:lang w:val="en-US"/>
        </w:rPr>
        <w:t>us,</w:t>
      </w:r>
      <w:r w:rsidRPr="006D2D43">
        <w:rPr>
          <w:color w:val="000000" w:themeColor="text1"/>
          <w:lang w:val="en-US"/>
        </w:rPr>
        <w:t xml:space="preserve"> we will stop using the data for marketing, although we will continue to use it for the commercial and administrative purposes described elsewhere in this Policy.</w:t>
      </w:r>
    </w:p>
    <w:p w14:paraId="31C5FCDE"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lastRenderedPageBreak/>
        <w:t>13. Your Rights and How to Exercise Them</w:t>
      </w:r>
    </w:p>
    <w:p w14:paraId="138294FC"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Under sections 18 and 22 of the PDPO you are entitled to ask whether we hold personal data about you, to obtain a copy of it, and to require the correction of anything inaccurate. You may also ask us about our data policies and practices generally, and about the kinds of data we hold.</w:t>
      </w:r>
    </w:p>
    <w:p w14:paraId="139A5434" w14:textId="7A89564A" w:rsidR="005C4FB5" w:rsidRPr="006D2D43" w:rsidRDefault="00000000">
      <w:pPr>
        <w:spacing w:after="140" w:line="276" w:lineRule="auto"/>
        <w:jc w:val="both"/>
        <w:rPr>
          <w:color w:val="000000" w:themeColor="text1"/>
          <w:lang w:val="en-US"/>
        </w:rPr>
      </w:pPr>
      <w:r w:rsidRPr="006D2D43">
        <w:rPr>
          <w:color w:val="000000" w:themeColor="text1"/>
          <w:lang w:val="en-US"/>
        </w:rPr>
        <w:t xml:space="preserve">A request should be sent to the e-mail address in section 1 and should identify you and, so far as you can, the data you are interested in. We will reply within 40 days of receiving the request, as sections 19 and 23 of the Ordinance require. Where we refuse a </w:t>
      </w:r>
      <w:r w:rsidR="004F4363" w:rsidRPr="006D2D43">
        <w:rPr>
          <w:color w:val="000000" w:themeColor="text1"/>
          <w:lang w:val="en-US"/>
        </w:rPr>
        <w:t>request,</w:t>
      </w:r>
      <w:r w:rsidRPr="006D2D43">
        <w:rPr>
          <w:color w:val="000000" w:themeColor="text1"/>
          <w:lang w:val="en-US"/>
        </w:rPr>
        <w:t xml:space="preserve"> we will tell you why. A reasonable fee, not exceeding the cost of complying, may be charged for supplying a copy of data, as permitted by section 28 of the PDPO. If we are not able to locate the data, or if an exemption applies, we will say so within the same period.</w:t>
      </w:r>
    </w:p>
    <w:p w14:paraId="229CFB66"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If you are not satisfied with the way we have handled your data or your request, you may complain to the Office of the Privacy Commissioner for Personal Data ("PCPD"), which supervises compliance with the PDPO in Hong Kong. Contact details and complaint forms are published on the PCPD website. We would, however, appreciate the chance to resolve the matter with you first.</w:t>
      </w:r>
    </w:p>
    <w:p w14:paraId="7B654DD8"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14. Cookies and Similar Technologies</w:t>
      </w:r>
    </w:p>
    <w:p w14:paraId="786856D8" w14:textId="65D1FAED" w:rsidR="005C4FB5" w:rsidRPr="006D2D43" w:rsidRDefault="00000000">
      <w:pPr>
        <w:spacing w:after="140" w:line="276" w:lineRule="auto"/>
        <w:jc w:val="both"/>
        <w:rPr>
          <w:color w:val="000000" w:themeColor="text1"/>
          <w:lang w:val="en-US"/>
        </w:rPr>
      </w:pPr>
      <w:r w:rsidRPr="006D2D43">
        <w:rPr>
          <w:color w:val="000000" w:themeColor="text1"/>
          <w:lang w:val="en-US"/>
        </w:rPr>
        <w:t>Our use of cookies, local storage and comparable technologies on the Site is described in a separate document, the Cookie Policy. That document explains what is stored on your device, for how long, and how you can change your choices.</w:t>
      </w:r>
    </w:p>
    <w:p w14:paraId="55D89494"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15. Minors</w:t>
      </w:r>
    </w:p>
    <w:p w14:paraId="70C8D232"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Our activities are addressed to businesses and to the professionals who act for them. The Site is not intended for persons under 18 and we do not knowingly gather their personal data. If we discover that data belonging to a minor has reached us without the involvement of a parent or guardian, we will delete it.</w:t>
      </w:r>
    </w:p>
    <w:p w14:paraId="6334BF99"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16. Changes to This Policy</w:t>
      </w:r>
    </w:p>
    <w:p w14:paraId="79A73F19" w14:textId="77777777" w:rsidR="005C4FB5" w:rsidRPr="006D2D43" w:rsidRDefault="00000000">
      <w:pPr>
        <w:spacing w:after="140" w:line="276" w:lineRule="auto"/>
        <w:jc w:val="both"/>
        <w:rPr>
          <w:color w:val="000000" w:themeColor="text1"/>
          <w:lang w:val="en-US"/>
        </w:rPr>
      </w:pPr>
      <w:r w:rsidRPr="006D2D43">
        <w:rPr>
          <w:color w:val="000000" w:themeColor="text1"/>
          <w:lang w:val="en-US"/>
        </w:rPr>
        <w:t xml:space="preserve">This Policy will be revised whenever our activities, our service providers or the applicable requirements change. The current version is always published on the Site and carries the date shown at the top. Where a change materially affects the </w:t>
      </w:r>
      <w:proofErr w:type="gramStart"/>
      <w:r w:rsidRPr="006D2D43">
        <w:rPr>
          <w:color w:val="000000" w:themeColor="text1"/>
          <w:lang w:val="en-US"/>
        </w:rPr>
        <w:t>way</w:t>
      </w:r>
      <w:proofErr w:type="gramEnd"/>
      <w:r w:rsidRPr="006D2D43">
        <w:rPr>
          <w:color w:val="000000" w:themeColor="text1"/>
          <w:lang w:val="en-US"/>
        </w:rPr>
        <w:t xml:space="preserve"> we use data already collected, we will take reasonable steps to bring it to the attention of the individuals concerned before it takes effect.</w:t>
      </w:r>
    </w:p>
    <w:p w14:paraId="202C9F37" w14:textId="77777777" w:rsidR="005C4FB5" w:rsidRPr="006D2D43" w:rsidRDefault="00000000">
      <w:pPr>
        <w:pStyle w:val="1"/>
        <w:spacing w:before="320" w:after="160"/>
        <w:rPr>
          <w:color w:val="000000" w:themeColor="text1"/>
          <w:lang w:val="en-US"/>
        </w:rPr>
      </w:pPr>
      <w:r w:rsidRPr="006D2D43">
        <w:rPr>
          <w:b/>
          <w:bCs/>
          <w:color w:val="000000" w:themeColor="text1"/>
          <w:sz w:val="26"/>
          <w:szCs w:val="26"/>
          <w:lang w:val="en-US"/>
        </w:rPr>
        <w:t>17. Questions</w:t>
      </w:r>
    </w:p>
    <w:p w14:paraId="6AE4C1A4" w14:textId="096C2302" w:rsidR="005C4FB5" w:rsidRPr="006D2D43" w:rsidRDefault="00000000" w:rsidP="005B124B">
      <w:pPr>
        <w:spacing w:after="140" w:line="276" w:lineRule="auto"/>
        <w:jc w:val="both"/>
        <w:rPr>
          <w:color w:val="000000" w:themeColor="text1"/>
          <w:lang w:val="en-US"/>
        </w:rPr>
      </w:pPr>
      <w:r w:rsidRPr="006D2D43">
        <w:rPr>
          <w:color w:val="000000" w:themeColor="text1"/>
          <w:lang w:val="en-US"/>
        </w:rPr>
        <w:t xml:space="preserve">Any question about this Policy, or about the way </w:t>
      </w:r>
      <w:r w:rsidR="0046585A" w:rsidRPr="006D2D43">
        <w:rPr>
          <w:color w:val="000000" w:themeColor="text1"/>
          <w:lang w:val="en-US"/>
        </w:rPr>
        <w:t>DRIFT BAY HOLDINGS LIMITED</w:t>
      </w:r>
      <w:r w:rsidRPr="006D2D43">
        <w:rPr>
          <w:color w:val="000000" w:themeColor="text1"/>
          <w:lang w:val="en-US"/>
        </w:rPr>
        <w:t xml:space="preserve"> handles personal data, may be addressed to </w:t>
      </w:r>
      <w:hyperlink r:id="rId5" w:history="1">
        <w:r w:rsidR="00E04EE8" w:rsidRPr="00E04EE8">
          <w:rPr>
            <w:rStyle w:val="a5"/>
            <w:lang w:val="en-US"/>
          </w:rPr>
          <w:t>info@driftbay.co</w:t>
        </w:r>
      </w:hyperlink>
      <w:r w:rsidR="00E04EE8" w:rsidRPr="00E04EE8">
        <w:rPr>
          <w:color w:val="000000" w:themeColor="text1"/>
          <w:lang w:val="en-US"/>
        </w:rPr>
        <w:t xml:space="preserve"> </w:t>
      </w:r>
      <w:r w:rsidRPr="006D2D43">
        <w:rPr>
          <w:color w:val="000000" w:themeColor="text1"/>
          <w:lang w:val="en-US"/>
        </w:rPr>
        <w:t xml:space="preserve">or sent to our registered office at </w:t>
      </w:r>
      <w:r w:rsidR="00205D20" w:rsidRPr="006D2D43">
        <w:rPr>
          <w:color w:val="000000" w:themeColor="text1"/>
          <w:lang w:val="en-US"/>
        </w:rPr>
        <w:t>FLAT/RM O2 11/F HANG SENG CASTLE PEAK RD BLDG 339 CASTLE PEAK RD CHEUNG SHA WAN KL</w:t>
      </w:r>
      <w:r w:rsidR="005B124B" w:rsidRPr="006D2D43">
        <w:rPr>
          <w:color w:val="000000" w:themeColor="text1"/>
          <w:lang w:val="en-US"/>
        </w:rPr>
        <w:t>.</w:t>
      </w:r>
    </w:p>
    <w:sectPr w:rsidR="005C4FB5" w:rsidRPr="006D2D43">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147F0"/>
    <w:multiLevelType w:val="hybridMultilevel"/>
    <w:tmpl w:val="04BAC628"/>
    <w:lvl w:ilvl="0" w:tplc="AA3C61CE">
      <w:start w:val="1"/>
      <w:numFmt w:val="bullet"/>
      <w:lvlText w:val="•"/>
      <w:lvlJc w:val="left"/>
      <w:pPr>
        <w:ind w:left="504" w:hanging="288"/>
      </w:pPr>
    </w:lvl>
    <w:lvl w:ilvl="1" w:tplc="B5A27B28">
      <w:start w:val="1"/>
      <w:numFmt w:val="bullet"/>
      <w:lvlText w:val="–"/>
      <w:lvlJc w:val="left"/>
      <w:pPr>
        <w:ind w:left="1008" w:hanging="288"/>
      </w:pPr>
    </w:lvl>
    <w:lvl w:ilvl="2" w:tplc="21C263BA">
      <w:numFmt w:val="decimal"/>
      <w:lvlText w:val=""/>
      <w:lvlJc w:val="left"/>
    </w:lvl>
    <w:lvl w:ilvl="3" w:tplc="3864A83A">
      <w:numFmt w:val="decimal"/>
      <w:lvlText w:val=""/>
      <w:lvlJc w:val="left"/>
    </w:lvl>
    <w:lvl w:ilvl="4" w:tplc="2A74FD62">
      <w:numFmt w:val="decimal"/>
      <w:lvlText w:val=""/>
      <w:lvlJc w:val="left"/>
    </w:lvl>
    <w:lvl w:ilvl="5" w:tplc="2C483DE8">
      <w:numFmt w:val="decimal"/>
      <w:lvlText w:val=""/>
      <w:lvlJc w:val="left"/>
    </w:lvl>
    <w:lvl w:ilvl="6" w:tplc="7CB6B38A">
      <w:numFmt w:val="decimal"/>
      <w:lvlText w:val=""/>
      <w:lvlJc w:val="left"/>
    </w:lvl>
    <w:lvl w:ilvl="7" w:tplc="2374986E">
      <w:numFmt w:val="decimal"/>
      <w:lvlText w:val=""/>
      <w:lvlJc w:val="left"/>
    </w:lvl>
    <w:lvl w:ilvl="8" w:tplc="63343292">
      <w:numFmt w:val="decimal"/>
      <w:lvlText w:val=""/>
      <w:lvlJc w:val="left"/>
    </w:lvl>
  </w:abstractNum>
  <w:abstractNum w:abstractNumId="1" w15:restartNumberingAfterBreak="0">
    <w:nsid w:val="49161771"/>
    <w:multiLevelType w:val="hybridMultilevel"/>
    <w:tmpl w:val="5D4E07A0"/>
    <w:lvl w:ilvl="0" w:tplc="CB527F60">
      <w:start w:val="1"/>
      <w:numFmt w:val="bullet"/>
      <w:lvlText w:val="●"/>
      <w:lvlJc w:val="left"/>
      <w:pPr>
        <w:ind w:left="720" w:hanging="360"/>
      </w:pPr>
    </w:lvl>
    <w:lvl w:ilvl="1" w:tplc="2474C120">
      <w:start w:val="1"/>
      <w:numFmt w:val="bullet"/>
      <w:lvlText w:val="○"/>
      <w:lvlJc w:val="left"/>
      <w:pPr>
        <w:ind w:left="1440" w:hanging="360"/>
      </w:pPr>
    </w:lvl>
    <w:lvl w:ilvl="2" w:tplc="645C8078">
      <w:start w:val="1"/>
      <w:numFmt w:val="bullet"/>
      <w:lvlText w:val="■"/>
      <w:lvlJc w:val="left"/>
      <w:pPr>
        <w:ind w:left="2160" w:hanging="360"/>
      </w:pPr>
    </w:lvl>
    <w:lvl w:ilvl="3" w:tplc="02ACB7BE">
      <w:start w:val="1"/>
      <w:numFmt w:val="bullet"/>
      <w:lvlText w:val="●"/>
      <w:lvlJc w:val="left"/>
      <w:pPr>
        <w:ind w:left="2880" w:hanging="360"/>
      </w:pPr>
    </w:lvl>
    <w:lvl w:ilvl="4" w:tplc="A858B708">
      <w:start w:val="1"/>
      <w:numFmt w:val="bullet"/>
      <w:lvlText w:val="○"/>
      <w:lvlJc w:val="left"/>
      <w:pPr>
        <w:ind w:left="3600" w:hanging="360"/>
      </w:pPr>
    </w:lvl>
    <w:lvl w:ilvl="5" w:tplc="5DAC1692">
      <w:start w:val="1"/>
      <w:numFmt w:val="bullet"/>
      <w:lvlText w:val="■"/>
      <w:lvlJc w:val="left"/>
      <w:pPr>
        <w:ind w:left="4320" w:hanging="360"/>
      </w:pPr>
    </w:lvl>
    <w:lvl w:ilvl="6" w:tplc="4DFC25CA">
      <w:start w:val="1"/>
      <w:numFmt w:val="bullet"/>
      <w:lvlText w:val="●"/>
      <w:lvlJc w:val="left"/>
      <w:pPr>
        <w:ind w:left="5040" w:hanging="360"/>
      </w:pPr>
    </w:lvl>
    <w:lvl w:ilvl="7" w:tplc="25ACA420">
      <w:start w:val="1"/>
      <w:numFmt w:val="bullet"/>
      <w:lvlText w:val="●"/>
      <w:lvlJc w:val="left"/>
      <w:pPr>
        <w:ind w:left="5760" w:hanging="360"/>
      </w:pPr>
    </w:lvl>
    <w:lvl w:ilvl="8" w:tplc="06E6F9DA">
      <w:start w:val="1"/>
      <w:numFmt w:val="bullet"/>
      <w:lvlText w:val="●"/>
      <w:lvlJc w:val="left"/>
      <w:pPr>
        <w:ind w:left="6480" w:hanging="360"/>
      </w:pPr>
    </w:lvl>
  </w:abstractNum>
  <w:num w:numId="1" w16cid:durableId="390157328">
    <w:abstractNumId w:val="1"/>
    <w:lvlOverride w:ilvl="0">
      <w:startOverride w:val="1"/>
    </w:lvlOverride>
  </w:num>
  <w:num w:numId="2" w16cid:durableId="9056022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FB5"/>
    <w:rsid w:val="00055B81"/>
    <w:rsid w:val="00205D20"/>
    <w:rsid w:val="0046585A"/>
    <w:rsid w:val="00490978"/>
    <w:rsid w:val="004F4363"/>
    <w:rsid w:val="005B124B"/>
    <w:rsid w:val="005C4FB5"/>
    <w:rsid w:val="006D2D43"/>
    <w:rsid w:val="00870A3F"/>
    <w:rsid w:val="009D3060"/>
    <w:rsid w:val="00BE658F"/>
    <w:rsid w:val="00C46CA1"/>
    <w:rsid w:val="00C925B0"/>
    <w:rsid w:val="00E04EE8"/>
    <w:rsid w:val="00FD36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99F2"/>
  <w15:docId w15:val="{BB51C78F-9061-4AD2-9C2E-4E3688CF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styleId="ac">
    <w:name w:val="annotation reference"/>
    <w:basedOn w:val="a0"/>
    <w:uiPriority w:val="99"/>
    <w:semiHidden/>
    <w:unhideWhenUsed/>
    <w:rsid w:val="005B124B"/>
    <w:rPr>
      <w:sz w:val="16"/>
      <w:szCs w:val="16"/>
    </w:rPr>
  </w:style>
  <w:style w:type="paragraph" w:styleId="ad">
    <w:name w:val="annotation text"/>
    <w:basedOn w:val="a"/>
    <w:link w:val="ae"/>
    <w:uiPriority w:val="99"/>
    <w:semiHidden/>
    <w:unhideWhenUsed/>
    <w:rsid w:val="005B124B"/>
    <w:rPr>
      <w:sz w:val="20"/>
      <w:szCs w:val="20"/>
    </w:rPr>
  </w:style>
  <w:style w:type="character" w:customStyle="1" w:styleId="ae">
    <w:name w:val="Текст примечания Знак"/>
    <w:basedOn w:val="a0"/>
    <w:link w:val="ad"/>
    <w:uiPriority w:val="99"/>
    <w:semiHidden/>
    <w:rsid w:val="005B124B"/>
    <w:rPr>
      <w:sz w:val="20"/>
      <w:szCs w:val="20"/>
    </w:rPr>
  </w:style>
  <w:style w:type="paragraph" w:styleId="af">
    <w:name w:val="annotation subject"/>
    <w:basedOn w:val="ad"/>
    <w:next w:val="ad"/>
    <w:link w:val="af0"/>
    <w:uiPriority w:val="99"/>
    <w:semiHidden/>
    <w:unhideWhenUsed/>
    <w:rsid w:val="005B124B"/>
    <w:rPr>
      <w:b/>
      <w:bCs/>
    </w:rPr>
  </w:style>
  <w:style w:type="character" w:customStyle="1" w:styleId="af0">
    <w:name w:val="Тема примечания Знак"/>
    <w:basedOn w:val="ae"/>
    <w:link w:val="af"/>
    <w:uiPriority w:val="99"/>
    <w:semiHidden/>
    <w:rsid w:val="005B124B"/>
    <w:rPr>
      <w:b/>
      <w:bCs/>
      <w:sz w:val="20"/>
      <w:szCs w:val="20"/>
    </w:rPr>
  </w:style>
  <w:style w:type="character" w:styleId="af1">
    <w:name w:val="Unresolved Mention"/>
    <w:basedOn w:val="a0"/>
    <w:uiPriority w:val="99"/>
    <w:semiHidden/>
    <w:unhideWhenUsed/>
    <w:rsid w:val="00E04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driftbay.c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2283</Words>
  <Characters>13018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A7</cp:lastModifiedBy>
  <cp:revision>10</cp:revision>
  <dcterms:created xsi:type="dcterms:W3CDTF">2026-09-14T11:36:00Z</dcterms:created>
  <dcterms:modified xsi:type="dcterms:W3CDTF">2026-09-24T07:29:00Z</dcterms:modified>
</cp:coreProperties>
</file>